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F2" w:rsidRDefault="00EB05F2" w:rsidP="00D315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EB05F2" w:rsidRDefault="00EB05F2" w:rsidP="00D315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05F2" w:rsidRDefault="00EB05F2" w:rsidP="00D315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EB05F2" w:rsidRDefault="00EB05F2" w:rsidP="00D315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05F2" w:rsidRDefault="00EB05F2" w:rsidP="00D315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15A6">
        <w:rPr>
          <w:rFonts w:ascii="Times New Roman" w:hAnsi="Times New Roman"/>
          <w:sz w:val="28"/>
          <w:szCs w:val="28"/>
          <w:lang w:val="uk-UA"/>
        </w:rPr>
        <w:t xml:space="preserve">Внутрішня система забезпечення якості вищої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університету передбачає взаємодію різних її елементів. </w:t>
      </w:r>
    </w:p>
    <w:p w:rsidR="00EB05F2" w:rsidRDefault="00EB05F2" w:rsidP="00D315A6">
      <w:pPr>
        <w:spacing w:after="0"/>
        <w:ind w:left="2694" w:hanging="269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05F2" w:rsidRPr="00B24C38" w:rsidRDefault="00EB05F2" w:rsidP="00B24C38">
      <w:pPr>
        <w:spacing w:after="0"/>
        <w:ind w:left="2694" w:hanging="269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315A6">
        <w:rPr>
          <w:rFonts w:ascii="Times New Roman" w:hAnsi="Times New Roman"/>
          <w:b/>
          <w:sz w:val="28"/>
          <w:szCs w:val="28"/>
          <w:lang w:val="uk-UA"/>
        </w:rPr>
        <w:t>Елементи СЗЯВО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B6691">
        <w:rPr>
          <w:rFonts w:ascii="Times New Roman" w:hAnsi="Times New Roman"/>
          <w:sz w:val="28"/>
          <w:szCs w:val="28"/>
          <w:lang w:val="uk-UA"/>
        </w:rPr>
        <w:t>це дійові особи ( структурні підрозділи), що забезпечують якість вищої освіти  та освітньої діяльності університету  за допомогою реалізації своїх функцій.</w:t>
      </w:r>
    </w:p>
    <w:p w:rsidR="00EB05F2" w:rsidRDefault="00EB05F2" w:rsidP="002B0E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5F2" w:rsidRPr="003C169B" w:rsidRDefault="00EB05F2" w:rsidP="009A2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Функція  (</w:t>
      </w:r>
      <w:r w:rsidRPr="00A34390">
        <w:rPr>
          <w:rFonts w:ascii="Times New Roman" w:hAnsi="Times New Roman"/>
          <w:color w:val="000000"/>
          <w:sz w:val="28"/>
          <w:szCs w:val="28"/>
          <w:lang w:val="uk-UA"/>
        </w:rPr>
        <w:t>від лат. «Обов'язок», «призначення»</w:t>
      </w:r>
      <w:r w:rsidRPr="000A3617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C169B">
        <w:rPr>
          <w:rFonts w:ascii="Times New Roman" w:hAnsi="Times New Roman"/>
          <w:sz w:val="28"/>
          <w:szCs w:val="28"/>
          <w:lang w:val="uk-UA"/>
        </w:rPr>
        <w:t xml:space="preserve">це вид діяльності дійової особи для забезпечення  та управління </w:t>
      </w:r>
      <w:r w:rsidRPr="003C169B">
        <w:rPr>
          <w:rFonts w:ascii="Times New Roman" w:hAnsi="Times New Roman"/>
          <w:b/>
          <w:sz w:val="28"/>
          <w:szCs w:val="28"/>
          <w:lang w:val="uk-UA"/>
        </w:rPr>
        <w:t>СЗЯВО</w:t>
      </w:r>
      <w:r w:rsidRPr="003C169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05F2" w:rsidRDefault="00EB05F2" w:rsidP="002B0E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5F2" w:rsidRPr="002B0E35" w:rsidRDefault="00EB05F2" w:rsidP="009A2B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B0E35">
        <w:rPr>
          <w:rFonts w:ascii="Times New Roman" w:hAnsi="Times New Roman"/>
          <w:sz w:val="28"/>
          <w:szCs w:val="28"/>
          <w:lang w:val="uk-UA"/>
        </w:rPr>
        <w:t>Загальні функції управління (</w:t>
      </w:r>
      <w:r w:rsidRPr="009A2B70">
        <w:rPr>
          <w:rFonts w:ascii="Times New Roman" w:hAnsi="Times New Roman"/>
          <w:b/>
          <w:i/>
          <w:sz w:val="28"/>
          <w:szCs w:val="28"/>
          <w:lang w:val="uk-UA"/>
        </w:rPr>
        <w:t>аналіз, планування, організація, регулювання та контроль</w:t>
      </w:r>
      <w:r w:rsidRPr="002B0E35">
        <w:rPr>
          <w:rFonts w:ascii="Times New Roman" w:hAnsi="Times New Roman"/>
          <w:sz w:val="28"/>
          <w:szCs w:val="28"/>
          <w:lang w:val="uk-UA"/>
        </w:rPr>
        <w:t xml:space="preserve">)  послідовно змінюючи одна одну, утворюють </w:t>
      </w:r>
      <w:r w:rsidRPr="003C169B">
        <w:rPr>
          <w:rFonts w:ascii="Times New Roman" w:hAnsi="Times New Roman"/>
          <w:sz w:val="28"/>
          <w:szCs w:val="28"/>
          <w:lang w:val="uk-UA"/>
        </w:rPr>
        <w:t>управлінський цикл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05F2" w:rsidRDefault="00EB05F2" w:rsidP="002B0E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05F2" w:rsidRPr="002B0E35" w:rsidRDefault="00EB05F2" w:rsidP="002B0E3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EB05F2" w:rsidRDefault="00EB05F2" w:rsidP="008402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02FF">
        <w:rPr>
          <w:rFonts w:ascii="Times New Roman" w:hAnsi="Times New Roman"/>
          <w:sz w:val="28"/>
          <w:szCs w:val="28"/>
          <w:lang w:val="uk-UA"/>
        </w:rPr>
        <w:t>Згідно вищезазначеного до кожного елементу системи (дійових осіб) забезпечення якості вищої освіти та ос</w:t>
      </w:r>
      <w:r>
        <w:rPr>
          <w:rFonts w:ascii="Times New Roman" w:hAnsi="Times New Roman"/>
          <w:sz w:val="28"/>
          <w:szCs w:val="28"/>
          <w:lang w:val="uk-UA"/>
        </w:rPr>
        <w:t>вітньої діяльності пропонуються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такі функції</w:t>
      </w:r>
      <w:r w:rsidRPr="008402F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B05F2" w:rsidRPr="008402FF" w:rsidRDefault="00EB05F2" w:rsidP="008402F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аналітико-прогностична;</w:t>
      </w:r>
    </w:p>
    <w:p w:rsidR="00EB05F2" w:rsidRPr="008402FF" w:rsidRDefault="00EB05F2" w:rsidP="008402F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планування;</w:t>
      </w:r>
    </w:p>
    <w:p w:rsidR="00EB05F2" w:rsidRPr="008402FF" w:rsidRDefault="00EB05F2" w:rsidP="008402F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402FF">
        <w:rPr>
          <w:rFonts w:ascii="Times New Roman" w:hAnsi="Times New Roman"/>
          <w:i/>
          <w:sz w:val="28"/>
          <w:szCs w:val="28"/>
          <w:lang w:val="uk-UA"/>
        </w:rPr>
        <w:t>організацій</w:t>
      </w:r>
      <w:r>
        <w:rPr>
          <w:rFonts w:ascii="Times New Roman" w:hAnsi="Times New Roman"/>
          <w:i/>
          <w:sz w:val="28"/>
          <w:szCs w:val="28"/>
          <w:lang w:val="uk-UA"/>
        </w:rPr>
        <w:t>но-координаційна;</w:t>
      </w:r>
      <w:r w:rsidRPr="008402F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EB05F2" w:rsidRPr="008402FF" w:rsidRDefault="00EB05F2" w:rsidP="008402F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регулятивно-консультативна;</w:t>
      </w:r>
    </w:p>
    <w:p w:rsidR="00EB05F2" w:rsidRDefault="00EB05F2" w:rsidP="00BB669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контрольно-діагностична,</w:t>
      </w:r>
    </w:p>
    <w:p w:rsidR="00EB05F2" w:rsidRPr="00BB6691" w:rsidRDefault="00EB05F2" w:rsidP="00BB6691">
      <w:pPr>
        <w:pStyle w:val="ListParagraph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B6691">
        <w:rPr>
          <w:rFonts w:ascii="Times New Roman" w:hAnsi="Times New Roman"/>
          <w:sz w:val="28"/>
          <w:szCs w:val="28"/>
          <w:lang w:val="uk-UA"/>
        </w:rPr>
        <w:t xml:space="preserve"> що спрямовані на здійснення </w:t>
      </w:r>
      <w:r>
        <w:rPr>
          <w:rFonts w:ascii="Times New Roman" w:hAnsi="Times New Roman"/>
          <w:sz w:val="28"/>
          <w:szCs w:val="28"/>
          <w:lang w:val="uk-UA"/>
        </w:rPr>
        <w:t>різних видів діяльності(заходів).</w:t>
      </w:r>
    </w:p>
    <w:p w:rsidR="00EB05F2" w:rsidRDefault="00EB05F2" w:rsidP="009A2B70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EB05F2" w:rsidSect="0070685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05F2" w:rsidRDefault="00EB05F2" w:rsidP="004B5CF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CF9">
        <w:rPr>
          <w:rFonts w:ascii="Times New Roman" w:hAnsi="Times New Roman"/>
          <w:b/>
          <w:sz w:val="28"/>
          <w:szCs w:val="28"/>
          <w:lang w:val="uk-UA"/>
        </w:rPr>
        <w:t xml:space="preserve">ФУНКЦІЇ </w:t>
      </w:r>
      <w:r>
        <w:rPr>
          <w:rFonts w:ascii="Times New Roman" w:hAnsi="Times New Roman"/>
          <w:b/>
          <w:sz w:val="28"/>
          <w:szCs w:val="28"/>
          <w:lang w:val="uk-UA"/>
        </w:rPr>
        <w:t>ЕЛЕМЕНТІВ (ДІЙОВИХ ОСІБ) СИСТЕМИ ЗАБЕЗПЕЧЕННЯ ЯКОСТІ ВИЩОЇ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6"/>
        <w:gridCol w:w="1999"/>
        <w:gridCol w:w="6659"/>
        <w:gridCol w:w="1689"/>
        <w:gridCol w:w="2677"/>
      </w:tblGrid>
      <w:tr w:rsidR="00EB05F2" w:rsidRPr="003875C9" w:rsidTr="003875C9">
        <w:tc>
          <w:tcPr>
            <w:tcW w:w="2896" w:type="dxa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елемента системи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Функції</w:t>
            </w:r>
          </w:p>
        </w:tc>
        <w:tc>
          <w:tcPr>
            <w:tcW w:w="6659" w:type="dxa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89" w:type="dxa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проведення</w:t>
            </w:r>
          </w:p>
        </w:tc>
        <w:tc>
          <w:tcPr>
            <w:tcW w:w="2677" w:type="dxa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Результат</w:t>
            </w:r>
          </w:p>
        </w:tc>
      </w:tr>
      <w:tr w:rsidR="00EB05F2" w:rsidRPr="003875C9" w:rsidTr="003875C9">
        <w:tc>
          <w:tcPr>
            <w:tcW w:w="2896" w:type="dxa"/>
            <w:vMerge w:val="restart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ВІДДІЛ ЗАБЕЗПЕЧЕННЯ ЯКОСТІ 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ВИЩОЇ ОСВІТИ </w:t>
            </w: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Аналітично-прогностична</w:t>
            </w:r>
          </w:p>
        </w:tc>
        <w:tc>
          <w:tcPr>
            <w:tcW w:w="6659" w:type="dxa"/>
          </w:tcPr>
          <w:p w:rsidR="00EB05F2" w:rsidRDefault="00EB05F2" w:rsidP="003875C9">
            <w:pPr>
              <w:numPr>
                <w:ilvl w:val="0"/>
                <w:numId w:val="1"/>
              </w:numPr>
              <w:tabs>
                <w:tab w:val="left" w:pos="-279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діючих нормативних документів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якості освітньої діяльності та якості вищої освіти</w:t>
            </w:r>
          </w:p>
          <w:p w:rsidR="00EB05F2" w:rsidRDefault="00EB05F2" w:rsidP="003F11F6">
            <w:pPr>
              <w:tabs>
                <w:tab w:val="left" w:pos="-27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94CE7" w:rsidRDefault="00EB05F2" w:rsidP="003875C9">
            <w:pPr>
              <w:numPr>
                <w:ilvl w:val="0"/>
                <w:numId w:val="1"/>
              </w:numPr>
              <w:tabs>
                <w:tab w:val="left" w:pos="-279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CE7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нормативних документів ВНЗ з врахуванням змін</w:t>
            </w:r>
          </w:p>
          <w:p w:rsidR="00EB05F2" w:rsidRPr="003875C9" w:rsidRDefault="00EB05F2" w:rsidP="003875C9">
            <w:pPr>
              <w:numPr>
                <w:ilvl w:val="0"/>
                <w:numId w:val="1"/>
              </w:numPr>
              <w:tabs>
                <w:tab w:val="left" w:pos="-279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аналіз пропозицій робочих проектних груп з розроблення та супроводження освітніх програм, їх структури та змісту;</w:t>
            </w:r>
          </w:p>
          <w:p w:rsidR="00EB05F2" w:rsidRPr="003875C9" w:rsidRDefault="00EB05F2" w:rsidP="003875C9">
            <w:pPr>
              <w:tabs>
                <w:tab w:val="left" w:pos="-279"/>
              </w:tabs>
              <w:spacing w:after="0" w:line="240" w:lineRule="auto"/>
              <w:ind w:left="25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Червень, січень</w:t>
            </w:r>
          </w:p>
        </w:tc>
        <w:tc>
          <w:tcPr>
            <w:tcW w:w="2677" w:type="dxa"/>
          </w:tcPr>
          <w:p w:rsidR="00EB05F2" w:rsidRPr="00DB42EC" w:rsidRDefault="00EB05F2" w:rsidP="00DB42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2EC">
              <w:rPr>
                <w:rFonts w:ascii="Times New Roman" w:hAnsi="Times New Roman"/>
                <w:sz w:val="18"/>
                <w:szCs w:val="18"/>
                <w:lang w:val="uk-UA"/>
              </w:rPr>
              <w:t>База діючих нормативних документів та перелік змін до них;</w:t>
            </w:r>
          </w:p>
          <w:p w:rsidR="00EB05F2" w:rsidRDefault="00EB05F2" w:rsidP="0012716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394CE7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4CE7">
              <w:rPr>
                <w:rFonts w:ascii="Times New Roman" w:hAnsi="Times New Roman"/>
                <w:sz w:val="18"/>
                <w:szCs w:val="18"/>
                <w:lang w:val="uk-UA"/>
              </w:rPr>
              <w:t>Оновлення нормативних документів  ВНЗ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;</w:t>
            </w:r>
          </w:p>
          <w:p w:rsidR="00EB05F2" w:rsidRDefault="00EB05F2" w:rsidP="0012716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3F11F6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11F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Експертний висновок про доцільність внесених змін. Рішення про </w:t>
            </w:r>
          </w:p>
          <w:p w:rsidR="00EB05F2" w:rsidRPr="003F11F6" w:rsidRDefault="00EB05F2" w:rsidP="003875C9">
            <w:pPr>
              <w:pStyle w:val="ListParagraph"/>
              <w:spacing w:after="0" w:line="240" w:lineRule="auto"/>
              <w:ind w:left="2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11F6">
              <w:rPr>
                <w:rFonts w:ascii="Times New Roman" w:hAnsi="Times New Roman"/>
                <w:sz w:val="18"/>
                <w:szCs w:val="18"/>
                <w:lang w:val="uk-UA"/>
              </w:rPr>
              <w:t>якість освітньої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1F6">
              <w:rPr>
                <w:rFonts w:ascii="Times New Roman" w:hAnsi="Times New Roman"/>
                <w:sz w:val="18"/>
                <w:szCs w:val="18"/>
                <w:lang w:val="uk-UA"/>
              </w:rPr>
              <w:t>програми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;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6659" w:type="dxa"/>
          </w:tcPr>
          <w:p w:rsidR="00EB05F2" w:rsidRPr="007A3215" w:rsidRDefault="00EB05F2" w:rsidP="003875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32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перспективне та поточне планування роботи відділу забезпечення якості вищої освіти;</w:t>
            </w:r>
          </w:p>
          <w:p w:rsidR="00EB05F2" w:rsidRPr="007A3215" w:rsidRDefault="00EB05F2" w:rsidP="007A32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05F2" w:rsidRPr="003875C9" w:rsidRDefault="00EB05F2" w:rsidP="007A3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заходів, спрямованих на впровадження внутрішньої системи забезпечення якості освітньої діяльності та якості вищої освіти;</w:t>
            </w:r>
          </w:p>
          <w:p w:rsidR="00EB05F2" w:rsidRPr="007A3215" w:rsidRDefault="00EB05F2" w:rsidP="003875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77" w:type="dxa"/>
          </w:tcPr>
          <w:p w:rsidR="00EB05F2" w:rsidRPr="007A3215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3215">
              <w:rPr>
                <w:rFonts w:ascii="Times New Roman" w:hAnsi="Times New Roman"/>
                <w:sz w:val="18"/>
                <w:szCs w:val="18"/>
                <w:lang w:val="uk-UA"/>
              </w:rPr>
              <w:t>План роботи відділу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;</w:t>
            </w:r>
          </w:p>
          <w:p w:rsidR="00EB05F2" w:rsidRPr="007A3215" w:rsidRDefault="00EB05F2" w:rsidP="007A3215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7A3215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7A3215" w:rsidRDefault="00EB05F2" w:rsidP="007A3215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7A3215" w:rsidRDefault="00EB05F2" w:rsidP="007A32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3215">
              <w:rPr>
                <w:rFonts w:ascii="Times New Roman" w:hAnsi="Times New Roman"/>
                <w:sz w:val="18"/>
                <w:szCs w:val="18"/>
                <w:lang w:val="uk-UA"/>
              </w:rPr>
              <w:t>План заходів університету</w:t>
            </w:r>
          </w:p>
          <w:p w:rsidR="00EB05F2" w:rsidRPr="007A3215" w:rsidRDefault="00EB05F2" w:rsidP="007A3215">
            <w:pPr>
              <w:pStyle w:val="ListParagraph"/>
              <w:spacing w:after="0" w:line="240" w:lineRule="auto"/>
              <w:ind w:left="2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3215">
              <w:rPr>
                <w:rFonts w:ascii="Times New Roman" w:hAnsi="Times New Roman"/>
                <w:sz w:val="18"/>
                <w:szCs w:val="18"/>
                <w:lang w:val="uk-UA"/>
              </w:rPr>
              <w:t>на поточний рік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;</w:t>
            </w:r>
          </w:p>
          <w:p w:rsidR="00EB05F2" w:rsidRPr="007A3215" w:rsidRDefault="00EB05F2" w:rsidP="007A3215">
            <w:pPr>
              <w:pStyle w:val="ListParagraph"/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05F2" w:rsidRPr="003875C9" w:rsidRDefault="00EB05F2" w:rsidP="007A321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Організаційно-координаційна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75C9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співпраця з Науково-методичною радою та НМК МОНУ, Національним агентством із забезпечення якості вищої освіти, іншими структурами Міністерства освіти і науки України та обласним, відділом освіти;</w:t>
            </w: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координація діяльності структурних підрозділів університету  з проблем забезпечення якості вищої освіти ; </w:t>
            </w:r>
          </w:p>
          <w:p w:rsidR="00EB05F2" w:rsidRPr="00127161" w:rsidRDefault="00EB05F2" w:rsidP="001271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узагальнених інформаційно-аналітичних матеріалів за результатами проведеного комплексного моніторингу факультетів (інститутів, кафедр)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графіка</w:t>
            </w:r>
          </w:p>
        </w:tc>
        <w:tc>
          <w:tcPr>
            <w:tcW w:w="2677" w:type="dxa"/>
          </w:tcPr>
          <w:p w:rsidR="00EB05F2" w:rsidRPr="007A3215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A3215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Інформаційні роз’яснення на запити відділу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;</w:t>
            </w:r>
          </w:p>
          <w:p w:rsidR="00EB05F2" w:rsidRPr="003875C9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127161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7161">
              <w:rPr>
                <w:rFonts w:ascii="Times New Roman" w:hAnsi="Times New Roman"/>
                <w:sz w:val="18"/>
                <w:szCs w:val="18"/>
                <w:lang w:val="uk-UA"/>
              </w:rPr>
              <w:t>Узгодження планів роботи структурних підрозділів та розподілу функцій</w:t>
            </w:r>
          </w:p>
          <w:p w:rsidR="00EB05F2" w:rsidRPr="00127161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127161" w:rsidRDefault="00EB05F2" w:rsidP="003E0C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7161">
              <w:rPr>
                <w:rFonts w:ascii="Times New Roman" w:hAnsi="Times New Roman"/>
                <w:sz w:val="18"/>
                <w:szCs w:val="18"/>
                <w:lang w:val="uk-UA"/>
              </w:rPr>
              <w:t>Довідка  за результатами моніторингу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 Методичні рекомендації щодо покращення забезпечення якості  вищої освіти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</w:rPr>
              <w:t>Регулятивно-консультативн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numPr>
                <w:ilvl w:val="0"/>
                <w:numId w:val="1"/>
              </w:numPr>
              <w:tabs>
                <w:tab w:val="left" w:pos="-279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розробка  рекомендацій до планування структурними підрозділами університету роботи із забезпечення якості вищої освіти та освітньої діяльності  на навчальний рік</w:t>
            </w:r>
          </w:p>
          <w:p w:rsidR="00EB05F2" w:rsidRPr="003875C9" w:rsidRDefault="00EB05F2" w:rsidP="003875C9">
            <w:pPr>
              <w:numPr>
                <w:ilvl w:val="0"/>
                <w:numId w:val="1"/>
              </w:numPr>
              <w:tabs>
                <w:tab w:val="left" w:pos="-279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видання інформаційного загальноуніверситетського бюлетеня забезпечення якості освіти </w:t>
            </w: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2677" w:type="dxa"/>
          </w:tcPr>
          <w:p w:rsidR="00EB05F2" w:rsidRPr="008D0030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D0030">
              <w:rPr>
                <w:rFonts w:ascii="Times New Roman" w:hAnsi="Times New Roman"/>
                <w:sz w:val="18"/>
                <w:szCs w:val="18"/>
                <w:lang w:val="uk-UA"/>
              </w:rPr>
              <w:t>Методичні рекомендації</w:t>
            </w:r>
          </w:p>
          <w:p w:rsidR="00EB05F2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8D0030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030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Інформаційний бюлетень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Контрольно-діагностична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дієвістю системи впровадження внутрішньої системи забезпечення якості освітньої діяльності та якості вищої освіти;</w:t>
            </w:r>
          </w:p>
          <w:p w:rsidR="00EB05F2" w:rsidRDefault="00EB05F2" w:rsidP="008D00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аналіз  відповідності змісту освітніх програм стандартам вищої освіти;</w:t>
            </w:r>
          </w:p>
          <w:p w:rsidR="00EB05F2" w:rsidRDefault="00EB05F2" w:rsidP="008D00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якості та прогресу навчальної діяльності студентів ;</w:t>
            </w:r>
          </w:p>
          <w:p w:rsidR="00EB05F2" w:rsidRDefault="00EB05F2" w:rsidP="00D40626">
            <w:pPr>
              <w:pStyle w:val="List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D4062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якості науково-педагогічної діяльності викладачів;</w:t>
            </w:r>
          </w:p>
          <w:p w:rsidR="00EB05F2" w:rsidRPr="003875C9" w:rsidRDefault="00EB05F2" w:rsidP="00D4062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якості навчально-методичного забезпечення </w:t>
            </w:r>
          </w:p>
          <w:p w:rsidR="00EB05F2" w:rsidRPr="00D40626" w:rsidRDefault="00EB05F2" w:rsidP="00D4062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якості освітньої діяльності та якості вищої освіти шляхом проведення та безпосередньої участі в організації опитувань (анкетувань, оцінювань тощо) здобувачів вищої освіти та викладачів факультету з питань якості організації освітнього процесу, випускників інституту (факультету);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6, 9, 10, 12-місяці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1 раз у семестр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2 рази в рік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2 рази в рік</w:t>
            </w:r>
          </w:p>
        </w:tc>
        <w:tc>
          <w:tcPr>
            <w:tcW w:w="2677" w:type="dxa"/>
          </w:tcPr>
          <w:p w:rsidR="00EB05F2" w:rsidRPr="008D0030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D0030">
              <w:rPr>
                <w:rFonts w:ascii="Times New Roman" w:hAnsi="Times New Roman"/>
                <w:sz w:val="18"/>
                <w:szCs w:val="18"/>
                <w:lang w:val="uk-UA"/>
              </w:rPr>
              <w:t>Програма заходів контролю</w:t>
            </w:r>
          </w:p>
          <w:p w:rsidR="00EB05F2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8D0030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D0030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Інформаційна довідка</w:t>
            </w:r>
          </w:p>
          <w:p w:rsidR="00EB05F2" w:rsidRDefault="00EB05F2" w:rsidP="003875C9">
            <w:p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8D0030">
            <w:pPr>
              <w:pStyle w:val="ListParagrap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8D0030" w:rsidRDefault="00EB05F2" w:rsidP="003875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30" w:hanging="17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D0030">
              <w:rPr>
                <w:rFonts w:ascii="Times New Roman" w:hAnsi="Times New Roman"/>
                <w:sz w:val="18"/>
                <w:szCs w:val="18"/>
                <w:lang w:val="uk-UA"/>
              </w:rPr>
              <w:t>Звіти та рішення обговорень на  засіданнях Вченої ради</w:t>
            </w:r>
          </w:p>
          <w:p w:rsidR="00EB05F2" w:rsidRDefault="00EB05F2" w:rsidP="008D00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8D00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8D00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8D00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D40626" w:rsidRDefault="00EB05F2" w:rsidP="008D00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406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Інформаційні звіти про науково-методичну роботу </w:t>
            </w:r>
          </w:p>
          <w:p w:rsidR="00EB05F2" w:rsidRPr="00D40626" w:rsidRDefault="00EB05F2" w:rsidP="008D003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406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Програма і результати моніторингу </w:t>
            </w:r>
          </w:p>
          <w:p w:rsidR="00EB05F2" w:rsidRPr="00D40626" w:rsidRDefault="00EB05F2" w:rsidP="00D4062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D4062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D4062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D4062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D4062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D40626" w:rsidRDefault="00EB05F2" w:rsidP="00D4062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406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Аналіз  результатів анкетування та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вироблення </w:t>
            </w:r>
            <w:r w:rsidRPr="00D406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пропозицій </w:t>
            </w:r>
          </w:p>
        </w:tc>
      </w:tr>
      <w:tr w:rsidR="00EB05F2" w:rsidRPr="003875C9" w:rsidTr="005B1E90">
        <w:trPr>
          <w:trHeight w:val="562"/>
        </w:trPr>
        <w:tc>
          <w:tcPr>
            <w:tcW w:w="13243" w:type="dxa"/>
            <w:gridSpan w:val="4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05F2" w:rsidRPr="0000592F" w:rsidTr="00380556">
        <w:tc>
          <w:tcPr>
            <w:tcW w:w="2896" w:type="dxa"/>
            <w:vMerge w:val="restart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ЛІЦЕНЗУВАННЯ ТА АКРЕДИТАЦІЇ</w:t>
            </w: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Аналітично-прогностична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аналіз нормативно-правової бази (документів) щодо ліцензування та акредитації освітніх програм;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можливо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сті ліцензування нових освітніх програм в університеті;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Серпень, Січень</w:t>
            </w:r>
          </w:p>
        </w:tc>
        <w:tc>
          <w:tcPr>
            <w:tcW w:w="2677" w:type="dxa"/>
          </w:tcPr>
          <w:p w:rsidR="00EB05F2" w:rsidRPr="00162C94" w:rsidRDefault="00EB05F2" w:rsidP="003875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62C94">
              <w:rPr>
                <w:rFonts w:ascii="Times New Roman" w:hAnsi="Times New Roman"/>
                <w:sz w:val="18"/>
                <w:szCs w:val="18"/>
                <w:lang w:val="uk-UA"/>
              </w:rPr>
              <w:t>База нормативно-правових документів Інформаційні доповіді на засіданнях методичної ради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4298D" w:rsidRDefault="00EB05F2" w:rsidP="003875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Обгрунтування доцільності та можливості ліцензування нових освітніх програм</w:t>
            </w:r>
          </w:p>
          <w:p w:rsidR="00EB05F2" w:rsidRPr="003875C9" w:rsidRDefault="00EB05F2" w:rsidP="003875C9">
            <w:pPr>
              <w:spacing w:after="0" w:line="240" w:lineRule="auto"/>
              <w:ind w:left="224" w:hanging="21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перспективне та поточне планування графіку ліцензування та акредитації освітніх програм;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77" w:type="dxa"/>
          </w:tcPr>
          <w:p w:rsidR="00EB05F2" w:rsidRPr="0074298D" w:rsidRDefault="00EB05F2" w:rsidP="00387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Графік ліцензування та акредитації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Організаційно-координаційна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0" w:hanging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методичних рекомендацій щодо підготовки ліцензійних та акредитаційних справ; 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0" w:hanging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підготовки справ для ліцензування та акредитації освітніх програм; 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0" w:hanging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співпраця з Національним агентством із забезпечення якості вищої освіти, </w:t>
            </w:r>
            <w:r w:rsidRPr="003875C9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Ліцензійно</w:t>
            </w:r>
            <w:r w:rsidRPr="003875C9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ю комісією МОН України, з питань ліцензування та акредитації;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0" w:hanging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щорічних звітів за результатами ліцензування та акредитації освітніх програм;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графіка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EB05F2" w:rsidRPr="0074298D" w:rsidRDefault="00EB05F2" w:rsidP="003875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Методичні рекомендації</w:t>
            </w: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4298D" w:rsidRDefault="00EB05F2" w:rsidP="003875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Ліцензійні та акредитаційні справи</w:t>
            </w: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4298D" w:rsidRDefault="00EB05F2" w:rsidP="003875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Рішення про надання ліцензії та акредитацію 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4298D" w:rsidRDefault="00EB05F2" w:rsidP="003875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Щорічний звіт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</w:rPr>
              <w:t>Регулятивно-консультативн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консультативних послуг щодо підготовки ліцензійних та акредитаційних справ;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EB05F2" w:rsidRPr="0074298D" w:rsidRDefault="00EB05F2" w:rsidP="003875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Консультації. Методичні рекомендації</w:t>
            </w: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5F2" w:rsidRPr="0074298D" w:rsidTr="003875C9">
        <w:trPr>
          <w:trHeight w:val="1124"/>
        </w:trPr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Контрольно-діагностична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 якістю підготовки та оформлення ліцензійних  та акредитаційних справ;</w:t>
            </w: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77" w:type="dxa"/>
          </w:tcPr>
          <w:p w:rsidR="00EB05F2" w:rsidRPr="0074298D" w:rsidRDefault="00EB05F2" w:rsidP="007429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Погодження ліцензійних та акредитаційних справи.,</w:t>
            </w:r>
          </w:p>
        </w:tc>
      </w:tr>
      <w:tr w:rsidR="00EB05F2" w:rsidRPr="0074298D" w:rsidTr="003875C9">
        <w:tc>
          <w:tcPr>
            <w:tcW w:w="13243" w:type="dxa"/>
            <w:gridSpan w:val="4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05F2" w:rsidRPr="003875C9" w:rsidTr="003875C9">
        <w:tc>
          <w:tcPr>
            <w:tcW w:w="2896" w:type="dxa"/>
            <w:vMerge w:val="restart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ВІДДІЛ</w:t>
            </w: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Аналітично-прогностична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аналіз нормативно-правової бази щодо організації освітньої діяльності університету;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розробка методичних рекомендацій щодо освітнього процесу в університеті;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2677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Інформаційні повідомлення на засіданнях вчених рад, методичних рад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B05F2" w:rsidRDefault="00EB05F2" w:rsidP="007429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4298D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Методичні рекомендації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розробка рекомендацій щодо планування освітнього процесу на поточний навчальний рік;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графіку освітнього процесу на поточний навчальний рік;</w:t>
            </w:r>
          </w:p>
          <w:p w:rsidR="00EB05F2" w:rsidRPr="003875C9" w:rsidRDefault="00EB05F2" w:rsidP="003875C9">
            <w:pPr>
              <w:spacing w:after="0" w:line="232" w:lineRule="auto"/>
              <w:ind w:left="360" w:right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2677" w:type="dxa"/>
          </w:tcPr>
          <w:p w:rsidR="00EB05F2" w:rsidRPr="0074298D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Методичні рекомендації</w:t>
            </w:r>
          </w:p>
          <w:p w:rsidR="00EB05F2" w:rsidRDefault="00EB05F2" w:rsidP="003875C9">
            <w:pPr>
              <w:pStyle w:val="ListParagraph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4298D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Графік освітнього процесу на поточний рік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Організаційно-координаційна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університету із забезпечення якісного проведення освітнього процесу 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координація зв’язку університету з органами виконавчої влади з питань організації освітнього процесу та оцінки його результатів;</w:t>
            </w:r>
          </w:p>
          <w:p w:rsidR="00EB05F2" w:rsidRPr="003875C9" w:rsidRDefault="00EB05F2" w:rsidP="003875C9">
            <w:pPr>
              <w:spacing w:after="0" w:line="233" w:lineRule="auto"/>
              <w:ind w:left="3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C0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C0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</w:tcPr>
          <w:p w:rsidR="00EB05F2" w:rsidRPr="0074298D" w:rsidRDefault="00EB05F2" w:rsidP="003875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Накази, розпорядження</w:t>
            </w:r>
          </w:p>
          <w:p w:rsidR="00EB05F2" w:rsidRPr="0074298D" w:rsidRDefault="00EB05F2" w:rsidP="003875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ind w:left="224" w:hanging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4298D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4298D">
              <w:rPr>
                <w:rFonts w:ascii="Times New Roman" w:hAnsi="Times New Roman"/>
                <w:sz w:val="18"/>
                <w:szCs w:val="18"/>
                <w:lang w:val="uk-UA"/>
              </w:rPr>
              <w:t>Спільні рішення та проведені заходи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</w:rPr>
              <w:t>Регулятивно-консультативн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659" w:type="dxa"/>
          </w:tcPr>
          <w:p w:rsidR="00EB05F2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консультативних послуг щодо формування навчальних планів на поточний навчальний рік;</w:t>
            </w:r>
          </w:p>
          <w:p w:rsidR="00EB05F2" w:rsidRPr="003875C9" w:rsidRDefault="00EB05F2" w:rsidP="00FF6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консультативна допомога щодо питань організації та здійснення освітнього процесу із забезпечення реалізації освітньої програми;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EB05F2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F67AF">
              <w:rPr>
                <w:rFonts w:ascii="Times New Roman" w:hAnsi="Times New Roman"/>
                <w:sz w:val="18"/>
                <w:szCs w:val="18"/>
                <w:lang w:val="uk-UA"/>
              </w:rPr>
              <w:t>Консультації працівників відділу</w:t>
            </w:r>
          </w:p>
          <w:p w:rsidR="00EB05F2" w:rsidRPr="00FF67AF" w:rsidRDefault="00EB05F2" w:rsidP="00FF6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FF67AF" w:rsidRDefault="00EB05F2" w:rsidP="003875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F67AF">
              <w:rPr>
                <w:rFonts w:ascii="Times New Roman" w:hAnsi="Times New Roman"/>
                <w:sz w:val="18"/>
                <w:szCs w:val="18"/>
                <w:lang w:val="uk-UA"/>
              </w:rPr>
              <w:t>Консультації працівників відділу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Контрольно-діагностична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numPr>
                <w:ilvl w:val="0"/>
                <w:numId w:val="10"/>
              </w:numPr>
              <w:spacing w:after="0" w:line="234" w:lineRule="auto"/>
              <w:ind w:left="250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наказів, розпоряджень та заходів щодо якості організації освітнього процесу;</w:t>
            </w:r>
          </w:p>
          <w:p w:rsidR="00EB05F2" w:rsidRDefault="00EB05F2" w:rsidP="00FF67AF">
            <w:pPr>
              <w:spacing w:after="0" w:line="23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numPr>
                <w:ilvl w:val="0"/>
                <w:numId w:val="10"/>
              </w:numPr>
              <w:spacing w:after="0" w:line="234" w:lineRule="auto"/>
              <w:ind w:left="250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розподілом, виконанням та веденням обліку виконання навчального навантаження кафедр та науково-педагогічних працівників;</w:t>
            </w:r>
          </w:p>
          <w:p w:rsidR="00EB05F2" w:rsidRDefault="00EB05F2" w:rsidP="00FF67AF">
            <w:pPr>
              <w:pStyle w:val="List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FF67AF" w:rsidRDefault="00EB05F2" w:rsidP="003875C9">
            <w:pPr>
              <w:numPr>
                <w:ilvl w:val="0"/>
                <w:numId w:val="10"/>
              </w:numPr>
              <w:spacing w:after="0" w:line="234" w:lineRule="auto"/>
              <w:ind w:left="250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7AF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ефективністю складеного розкладу занять та  ефективністю використання аудиторного фонду університету;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FF67AF">
            <w:pPr>
              <w:numPr>
                <w:ilvl w:val="0"/>
                <w:numId w:val="10"/>
              </w:numPr>
              <w:spacing w:after="0" w:line="234" w:lineRule="auto"/>
              <w:ind w:left="250" w:hanging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FF6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EB05F2" w:rsidRPr="00FF67AF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F67AF">
              <w:rPr>
                <w:rFonts w:ascii="Times New Roman" w:hAnsi="Times New Roman"/>
                <w:sz w:val="18"/>
                <w:szCs w:val="18"/>
                <w:lang w:val="uk-UA"/>
              </w:rPr>
              <w:t>Звіт про результати контролю та обговорення їх на засіданнях колегіальних органів управління</w:t>
            </w:r>
          </w:p>
          <w:p w:rsidR="00EB05F2" w:rsidRPr="003875C9" w:rsidRDefault="00EB05F2" w:rsidP="003875C9">
            <w:pPr>
              <w:spacing w:after="0" w:line="240" w:lineRule="auto"/>
              <w:ind w:left="224" w:hanging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C4D43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Затверджений розклад занять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24" w:hanging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5F2" w:rsidRPr="003875C9" w:rsidTr="003875C9">
        <w:tc>
          <w:tcPr>
            <w:tcW w:w="13243" w:type="dxa"/>
            <w:gridSpan w:val="4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shd w:val="clear" w:color="auto" w:fill="C6D9F1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05F2" w:rsidRPr="003875C9" w:rsidTr="003875C9">
        <w:tc>
          <w:tcPr>
            <w:tcW w:w="2896" w:type="dxa"/>
            <w:vMerge w:val="restart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ВІДДІЛ 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НАУКОВО-МЕТОДИЧНОЇ РОБОТИ</w:t>
            </w: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Аналітично-прогностична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аналіз  навчально-методичного забезпечення;</w:t>
            </w: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прогнозування професійного зростання викладачів;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2 рази на рік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</w:tcPr>
          <w:p w:rsidR="00EB05F2" w:rsidRPr="007C4D43" w:rsidRDefault="00EB05F2" w:rsidP="00387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Пропозиції щодо структури та змісту навчально-методичного забезпечення</w:t>
            </w:r>
          </w:p>
          <w:p w:rsidR="00EB05F2" w:rsidRDefault="00EB05F2" w:rsidP="007C4D4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C4D43" w:rsidRDefault="00EB05F2" w:rsidP="00387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План  заходів з професійного розвитку викладачів</w:t>
            </w:r>
          </w:p>
        </w:tc>
      </w:tr>
      <w:tr w:rsidR="00EB05F2" w:rsidRPr="0000592F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науково-методичних заходів щодо забезпечення якості вищої освіти та якості освітньої діяльності;</w:t>
            </w: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процесу підвищення кваліфікації науково-педагогічних працівників;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2677" w:type="dxa"/>
          </w:tcPr>
          <w:p w:rsidR="00EB05F2" w:rsidRPr="007C4D43" w:rsidRDefault="00EB05F2" w:rsidP="00387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План роботи</w:t>
            </w: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7C4D43" w:rsidRDefault="00EB05F2" w:rsidP="00387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Графік проходження стажування та підви</w:t>
            </w: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softHyphen/>
              <w:t>щення кваліфікації викладачів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Організаційно-координаційна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координація співпраці структурних підрозділів щодо підвищення якості науково-методичного рівня освітнього процесу;</w:t>
            </w:r>
          </w:p>
          <w:p w:rsidR="00EB05F2" w:rsidRPr="003875C9" w:rsidRDefault="00EB05F2" w:rsidP="003875C9">
            <w:pPr>
              <w:numPr>
                <w:ilvl w:val="0"/>
                <w:numId w:val="10"/>
              </w:numPr>
              <w:tabs>
                <w:tab w:val="left" w:pos="-8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кордина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ція діяльності факультетів (кафедр) щодо методичного забезпечення  освітнього процесу; </w:t>
            </w: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2677" w:type="dxa"/>
          </w:tcPr>
          <w:p w:rsidR="00EB05F2" w:rsidRPr="007C4D43" w:rsidRDefault="00EB05F2" w:rsidP="00387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Спільні заходи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</w:t>
            </w: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підвищення якості науково-методичного рівня освітнього процесу</w:t>
            </w:r>
          </w:p>
          <w:p w:rsidR="00EB05F2" w:rsidRPr="007C4D43" w:rsidRDefault="00EB05F2" w:rsidP="003875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7C4D43" w:rsidRDefault="00EB05F2" w:rsidP="00387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Навчально-методичне забезпечення </w:t>
            </w:r>
          </w:p>
        </w:tc>
      </w:tr>
      <w:tr w:rsidR="00EB05F2" w:rsidRPr="003875C9" w:rsidTr="003875C9">
        <w:trPr>
          <w:trHeight w:val="1259"/>
        </w:trPr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</w:rPr>
              <w:t>Регулятивно-консультативн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науково-методичних заходів (семінарів, конференцій) з питань забезпечення якості вищої освіти;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тренінгів щодо підвищення професійно-особистісного рівня викладачів;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графіка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графіка</w:t>
            </w:r>
          </w:p>
        </w:tc>
        <w:tc>
          <w:tcPr>
            <w:tcW w:w="2677" w:type="dxa"/>
          </w:tcPr>
          <w:p w:rsidR="00EB05F2" w:rsidRPr="007C4D43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Семінари, конференції</w:t>
            </w:r>
          </w:p>
          <w:p w:rsidR="00EB05F2" w:rsidRPr="007C4D43" w:rsidRDefault="00EB05F2" w:rsidP="003875C9">
            <w:pPr>
              <w:spacing w:after="0" w:line="240" w:lineRule="auto"/>
              <w:ind w:left="224" w:hanging="224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4" w:hanging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Тренінги</w:t>
            </w:r>
          </w:p>
        </w:tc>
      </w:tr>
      <w:tr w:rsidR="00EB05F2" w:rsidRPr="003875C9" w:rsidTr="00687B3F">
        <w:trPr>
          <w:trHeight w:val="2994"/>
        </w:trPr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Контрольно-діагностична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станом  навчально-методичної та обліково-звітної документації в інституті (факультеті, кафедрі);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навчально-методичної  готовності кафедр до організації освітнього процесу у поточному навчальному році (семестрі)</w:t>
            </w:r>
          </w:p>
        </w:tc>
        <w:tc>
          <w:tcPr>
            <w:tcW w:w="1689" w:type="dxa"/>
          </w:tcPr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2 рази на рік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Вересень, лютий</w:t>
            </w:r>
          </w:p>
        </w:tc>
        <w:tc>
          <w:tcPr>
            <w:tcW w:w="2677" w:type="dxa"/>
          </w:tcPr>
          <w:p w:rsidR="00EB05F2" w:rsidRPr="007C4D43" w:rsidRDefault="00EB05F2" w:rsidP="007C4D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Інформація про результатами моніторингу </w:t>
            </w:r>
          </w:p>
          <w:p w:rsidR="00EB05F2" w:rsidRPr="007C4D43" w:rsidRDefault="00EB05F2" w:rsidP="007C4D43">
            <w:pPr>
              <w:pStyle w:val="ListParagraph"/>
              <w:spacing w:after="0" w:line="240" w:lineRule="auto"/>
              <w:ind w:left="61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7C4D43" w:rsidRDefault="00EB05F2" w:rsidP="007C4D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Аналітична довідка</w:t>
            </w:r>
          </w:p>
        </w:tc>
      </w:tr>
      <w:tr w:rsidR="00EB05F2" w:rsidRPr="003875C9" w:rsidTr="003875C9">
        <w:tc>
          <w:tcPr>
            <w:tcW w:w="13243" w:type="dxa"/>
            <w:gridSpan w:val="4"/>
            <w:shd w:val="clear" w:color="auto" w:fill="C6D9F1"/>
          </w:tcPr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shd w:val="clear" w:color="auto" w:fill="C6D9F1"/>
          </w:tcPr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05F2" w:rsidRPr="003875C9" w:rsidTr="003875C9">
        <w:tc>
          <w:tcPr>
            <w:tcW w:w="2896" w:type="dxa"/>
            <w:vMerge w:val="restart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ВІДДІЛ 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ЗВ’ЯЗКУ З РОБОТОДАВЦЯМИ</w:t>
            </w: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Аналітично-прогностична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аналіз стану зв’язків  кафедр (факультетів) з роботодавцями;</w:t>
            </w: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маркетингова діяльність щодо вивчення попиту роботодавців на фахівців за визначеними спеціальностями;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рекрутинговими агенціями з питань працевлаштування студентів та випускників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77" w:type="dxa"/>
          </w:tcPr>
          <w:p w:rsidR="00EB05F2" w:rsidRPr="007C4D43" w:rsidRDefault="00EB05F2" w:rsidP="003875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Заключення угод  про співпрацю</w:t>
            </w:r>
          </w:p>
          <w:p w:rsidR="00EB05F2" w:rsidRPr="007C4D43" w:rsidRDefault="00EB05F2" w:rsidP="003875C9">
            <w:pPr>
              <w:pStyle w:val="ListParagraph"/>
              <w:spacing w:after="0" w:line="240" w:lineRule="auto"/>
              <w:ind w:left="224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7C4D43" w:rsidRDefault="00EB05F2" w:rsidP="003875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Інформаційні матеріали</w:t>
            </w:r>
          </w:p>
          <w:p w:rsidR="00EB05F2" w:rsidRPr="007C4D43" w:rsidRDefault="00EB05F2" w:rsidP="003875C9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3875C9" w:rsidRDefault="00EB05F2" w:rsidP="007C4D4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Статистичні дані про працевлаштування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 заходів щодо працевлаштування студентів 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77" w:type="dxa"/>
          </w:tcPr>
          <w:p w:rsidR="00EB05F2" w:rsidRPr="007C4D43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План заходів</w:t>
            </w: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Організаційно-координаційна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залучення роботодавців до формування освітніх програм та аналізу якості професійної підготовки студентів;</w:t>
            </w:r>
          </w:p>
          <w:p w:rsidR="00EB05F2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роботодавцям про кількість та рейтинги випускників;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щорічного заходу «Ярмарка вакансій»;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677" w:type="dxa"/>
          </w:tcPr>
          <w:p w:rsidR="00EB05F2" w:rsidRDefault="00EB05F2" w:rsidP="003875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Наявність у складі  проектних груп з розроб</w:t>
            </w: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softHyphen/>
              <w:t>ки освітніх програм – роботодавців.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Рецензії на освітні програми</w:t>
            </w:r>
          </w:p>
          <w:p w:rsidR="00EB05F2" w:rsidRPr="007C4D43" w:rsidRDefault="00EB05F2" w:rsidP="007C4D4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3875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Сформовані рейтинги випускників</w:t>
            </w:r>
          </w:p>
          <w:p w:rsidR="00EB05F2" w:rsidRDefault="00EB05F2" w:rsidP="007C4D43">
            <w:pPr>
              <w:pStyle w:val="ListParagrap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7C4D43" w:rsidRDefault="00EB05F2" w:rsidP="003875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4D43">
              <w:rPr>
                <w:rFonts w:ascii="Times New Roman" w:hAnsi="Times New Roman"/>
                <w:sz w:val="18"/>
                <w:szCs w:val="18"/>
                <w:lang w:val="uk-UA"/>
              </w:rPr>
              <w:t>Спільний захід університету та роботодавців «Ярмарка вакансій»</w:t>
            </w: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5F2" w:rsidRPr="003875C9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</w:rPr>
              <w:t>Регулятивно-консультативн</w:t>
            </w: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надання консультативної допомоги випускникам щодо пошуку вакантних місць за спеціальністю;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студентів щодо формування резюме для працевлаштування;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02D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B05F2" w:rsidRPr="003875C9" w:rsidRDefault="00EB05F2" w:rsidP="0030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7" w:type="dxa"/>
          </w:tcPr>
          <w:p w:rsidR="00EB05F2" w:rsidRPr="00302DB5" w:rsidRDefault="00EB05F2" w:rsidP="003875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2DB5">
              <w:rPr>
                <w:rFonts w:ascii="Times New Roman" w:hAnsi="Times New Roman"/>
                <w:sz w:val="18"/>
                <w:szCs w:val="18"/>
                <w:lang w:val="uk-UA"/>
              </w:rPr>
              <w:t>Консультації</w:t>
            </w:r>
          </w:p>
          <w:p w:rsidR="00EB05F2" w:rsidRPr="00302DB5" w:rsidRDefault="00EB05F2" w:rsidP="003875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3875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Default="00EB05F2" w:rsidP="00302DB5">
            <w:pPr>
              <w:pStyle w:val="ListParagrap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302DB5" w:rsidRDefault="00EB05F2" w:rsidP="003875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2DB5">
              <w:rPr>
                <w:rFonts w:ascii="Times New Roman" w:hAnsi="Times New Roman"/>
                <w:sz w:val="18"/>
                <w:szCs w:val="18"/>
                <w:lang w:val="uk-UA"/>
              </w:rPr>
              <w:t>Консультації (зразок резюме)</w:t>
            </w:r>
          </w:p>
          <w:p w:rsidR="00EB05F2" w:rsidRPr="00302DB5" w:rsidRDefault="00EB05F2" w:rsidP="003875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02DB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5F2" w:rsidRPr="0000592F" w:rsidTr="003875C9">
        <w:tc>
          <w:tcPr>
            <w:tcW w:w="2896" w:type="dxa"/>
            <w:vMerge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EB05F2" w:rsidRPr="003875C9" w:rsidRDefault="00EB05F2" w:rsidP="0038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Контрольно-діагностична</w:t>
            </w:r>
          </w:p>
        </w:tc>
        <w:tc>
          <w:tcPr>
            <w:tcW w:w="6659" w:type="dxa"/>
          </w:tcPr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відстеження стану працевлаштування випускників за спеціальністю;</w:t>
            </w:r>
          </w:p>
          <w:p w:rsidR="00EB05F2" w:rsidRPr="003875C9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1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думки роботодавців про якість підготовки випускників.</w:t>
            </w:r>
          </w:p>
          <w:p w:rsidR="00EB05F2" w:rsidRPr="003875C9" w:rsidRDefault="00EB05F2" w:rsidP="003875C9">
            <w:pPr>
              <w:pStyle w:val="ListParagraph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2677" w:type="dxa"/>
          </w:tcPr>
          <w:p w:rsidR="00EB05F2" w:rsidRPr="00302DB5" w:rsidRDefault="00EB05F2" w:rsidP="003875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4" w:hanging="21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2DB5">
              <w:rPr>
                <w:rFonts w:ascii="Times New Roman" w:hAnsi="Times New Roman"/>
                <w:sz w:val="18"/>
                <w:szCs w:val="18"/>
                <w:lang w:val="uk-UA"/>
              </w:rPr>
              <w:t>База інформації про працевлаштування випускників.</w:t>
            </w:r>
          </w:p>
          <w:p w:rsidR="00EB05F2" w:rsidRPr="00302DB5" w:rsidRDefault="00EB05F2" w:rsidP="003875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B05F2" w:rsidRPr="003875C9" w:rsidRDefault="00EB05F2" w:rsidP="003875C9">
            <w:pPr>
              <w:spacing w:after="0" w:line="240" w:lineRule="auto"/>
              <w:ind w:left="224" w:hanging="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02DB5">
              <w:rPr>
                <w:rFonts w:ascii="Times New Roman" w:hAnsi="Times New Roman"/>
                <w:sz w:val="18"/>
                <w:szCs w:val="18"/>
                <w:lang w:val="uk-UA"/>
              </w:rPr>
              <w:t>Узагальнена інфор</w:t>
            </w:r>
            <w:r w:rsidRPr="00302DB5">
              <w:rPr>
                <w:rFonts w:ascii="Times New Roman" w:hAnsi="Times New Roman"/>
                <w:sz w:val="18"/>
                <w:szCs w:val="18"/>
                <w:lang w:val="uk-UA"/>
              </w:rPr>
              <w:softHyphen/>
              <w:t>мація та рішення щодо її обговорення</w:t>
            </w:r>
          </w:p>
        </w:tc>
      </w:tr>
    </w:tbl>
    <w:p w:rsidR="00EB05F2" w:rsidRPr="004B5CF9" w:rsidRDefault="00EB05F2" w:rsidP="004B5CF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B05F2" w:rsidRPr="004B5CF9" w:rsidSect="00D03FE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F2" w:rsidRDefault="00EB05F2" w:rsidP="00E1371F">
      <w:pPr>
        <w:spacing w:after="0" w:line="240" w:lineRule="auto"/>
      </w:pPr>
      <w:r>
        <w:separator/>
      </w:r>
    </w:p>
  </w:endnote>
  <w:endnote w:type="continuationSeparator" w:id="1">
    <w:p w:rsidR="00EB05F2" w:rsidRDefault="00EB05F2" w:rsidP="00E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F2" w:rsidRDefault="00EB05F2" w:rsidP="00E1371F">
      <w:pPr>
        <w:spacing w:after="0" w:line="240" w:lineRule="auto"/>
      </w:pPr>
      <w:r>
        <w:separator/>
      </w:r>
    </w:p>
  </w:footnote>
  <w:footnote w:type="continuationSeparator" w:id="1">
    <w:p w:rsidR="00EB05F2" w:rsidRDefault="00EB05F2" w:rsidP="00E1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D7F"/>
    <w:multiLevelType w:val="hybridMultilevel"/>
    <w:tmpl w:val="561E41F4"/>
    <w:lvl w:ilvl="0" w:tplc="F8C2F7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669CC"/>
    <w:multiLevelType w:val="hybridMultilevel"/>
    <w:tmpl w:val="C21C20A2"/>
    <w:lvl w:ilvl="0" w:tplc="A3E290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4455A"/>
    <w:multiLevelType w:val="hybridMultilevel"/>
    <w:tmpl w:val="B9E299D0"/>
    <w:lvl w:ilvl="0" w:tplc="83B4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34A5"/>
    <w:multiLevelType w:val="hybridMultilevel"/>
    <w:tmpl w:val="4D1822EE"/>
    <w:lvl w:ilvl="0" w:tplc="CF70A3B8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122C"/>
    <w:multiLevelType w:val="hybridMultilevel"/>
    <w:tmpl w:val="CBE49418"/>
    <w:lvl w:ilvl="0" w:tplc="83B4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00D6"/>
    <w:multiLevelType w:val="hybridMultilevel"/>
    <w:tmpl w:val="63D8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14FA"/>
    <w:multiLevelType w:val="hybridMultilevel"/>
    <w:tmpl w:val="F2483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1509"/>
    <w:multiLevelType w:val="hybridMultilevel"/>
    <w:tmpl w:val="C464BBF2"/>
    <w:lvl w:ilvl="0" w:tplc="005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2CDA"/>
    <w:multiLevelType w:val="hybridMultilevel"/>
    <w:tmpl w:val="54B4EE7C"/>
    <w:lvl w:ilvl="0" w:tplc="F8C2F7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7201E"/>
    <w:multiLevelType w:val="hybridMultilevel"/>
    <w:tmpl w:val="BD32D778"/>
    <w:lvl w:ilvl="0" w:tplc="83B42B2E"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398851B7"/>
    <w:multiLevelType w:val="hybridMultilevel"/>
    <w:tmpl w:val="0D503B0C"/>
    <w:lvl w:ilvl="0" w:tplc="83B4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33F4"/>
    <w:multiLevelType w:val="hybridMultilevel"/>
    <w:tmpl w:val="9396604E"/>
    <w:lvl w:ilvl="0" w:tplc="83B4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B670D"/>
    <w:multiLevelType w:val="hybridMultilevel"/>
    <w:tmpl w:val="3BA471CE"/>
    <w:lvl w:ilvl="0" w:tplc="F8C2F7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00F00"/>
    <w:multiLevelType w:val="multilevel"/>
    <w:tmpl w:val="429A76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64740A43"/>
    <w:multiLevelType w:val="hybridMultilevel"/>
    <w:tmpl w:val="A1A0186C"/>
    <w:lvl w:ilvl="0" w:tplc="F8C2F7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EE0B4F"/>
    <w:multiLevelType w:val="hybridMultilevel"/>
    <w:tmpl w:val="F89E88EE"/>
    <w:lvl w:ilvl="0" w:tplc="83B4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82B6D"/>
    <w:multiLevelType w:val="hybridMultilevel"/>
    <w:tmpl w:val="65D66018"/>
    <w:lvl w:ilvl="0" w:tplc="83B4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4798B"/>
    <w:multiLevelType w:val="hybridMultilevel"/>
    <w:tmpl w:val="0EF0750C"/>
    <w:lvl w:ilvl="0" w:tplc="F8C2F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B55C1"/>
    <w:multiLevelType w:val="hybridMultilevel"/>
    <w:tmpl w:val="36408128"/>
    <w:lvl w:ilvl="0" w:tplc="83B42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57D2A"/>
    <w:multiLevelType w:val="hybridMultilevel"/>
    <w:tmpl w:val="05889C90"/>
    <w:lvl w:ilvl="0" w:tplc="F8C2F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9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7"/>
  </w:num>
  <w:num w:numId="14">
    <w:abstractNumId w:val="11"/>
  </w:num>
  <w:num w:numId="15">
    <w:abstractNumId w:val="2"/>
  </w:num>
  <w:num w:numId="16">
    <w:abstractNumId w:val="18"/>
  </w:num>
  <w:num w:numId="17">
    <w:abstractNumId w:val="4"/>
  </w:num>
  <w:num w:numId="18">
    <w:abstractNumId w:val="16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61"/>
    <w:rsid w:val="00003F57"/>
    <w:rsid w:val="000058E0"/>
    <w:rsid w:val="0000592F"/>
    <w:rsid w:val="00027C92"/>
    <w:rsid w:val="00031E3D"/>
    <w:rsid w:val="00036D5A"/>
    <w:rsid w:val="0009363B"/>
    <w:rsid w:val="000A3617"/>
    <w:rsid w:val="000B05A4"/>
    <w:rsid w:val="000C23C3"/>
    <w:rsid w:val="00107D2F"/>
    <w:rsid w:val="00127161"/>
    <w:rsid w:val="0012720E"/>
    <w:rsid w:val="00130153"/>
    <w:rsid w:val="00162C94"/>
    <w:rsid w:val="00187958"/>
    <w:rsid w:val="001A2CE9"/>
    <w:rsid w:val="001B0511"/>
    <w:rsid w:val="001C4BA0"/>
    <w:rsid w:val="001C5711"/>
    <w:rsid w:val="001D1F22"/>
    <w:rsid w:val="001F3E6E"/>
    <w:rsid w:val="0020095B"/>
    <w:rsid w:val="00206A0D"/>
    <w:rsid w:val="00254BBE"/>
    <w:rsid w:val="00296749"/>
    <w:rsid w:val="002B0E35"/>
    <w:rsid w:val="002B601C"/>
    <w:rsid w:val="002C366B"/>
    <w:rsid w:val="002E78E0"/>
    <w:rsid w:val="00302DB5"/>
    <w:rsid w:val="003042C1"/>
    <w:rsid w:val="003133EB"/>
    <w:rsid w:val="00341637"/>
    <w:rsid w:val="00341E09"/>
    <w:rsid w:val="0035775D"/>
    <w:rsid w:val="00364A9D"/>
    <w:rsid w:val="00373658"/>
    <w:rsid w:val="00377447"/>
    <w:rsid w:val="00380556"/>
    <w:rsid w:val="003875C9"/>
    <w:rsid w:val="00394CE7"/>
    <w:rsid w:val="003C169B"/>
    <w:rsid w:val="003E047F"/>
    <w:rsid w:val="003E0CA4"/>
    <w:rsid w:val="003F11F6"/>
    <w:rsid w:val="00431C09"/>
    <w:rsid w:val="004505F0"/>
    <w:rsid w:val="00450D48"/>
    <w:rsid w:val="00452DB8"/>
    <w:rsid w:val="004B4C31"/>
    <w:rsid w:val="004B5CF9"/>
    <w:rsid w:val="004E4B55"/>
    <w:rsid w:val="004E5C34"/>
    <w:rsid w:val="00530D14"/>
    <w:rsid w:val="00572C50"/>
    <w:rsid w:val="00573440"/>
    <w:rsid w:val="00583BFF"/>
    <w:rsid w:val="005B1E90"/>
    <w:rsid w:val="005C0E6F"/>
    <w:rsid w:val="005D2FC9"/>
    <w:rsid w:val="00635EDC"/>
    <w:rsid w:val="00637F5D"/>
    <w:rsid w:val="00647B8D"/>
    <w:rsid w:val="00687B3F"/>
    <w:rsid w:val="0069728F"/>
    <w:rsid w:val="006E1E2E"/>
    <w:rsid w:val="006F647F"/>
    <w:rsid w:val="00702D48"/>
    <w:rsid w:val="00706857"/>
    <w:rsid w:val="007123FB"/>
    <w:rsid w:val="0074298D"/>
    <w:rsid w:val="00750DE5"/>
    <w:rsid w:val="007558AD"/>
    <w:rsid w:val="00755F7A"/>
    <w:rsid w:val="007A3215"/>
    <w:rsid w:val="007A613C"/>
    <w:rsid w:val="007C4D43"/>
    <w:rsid w:val="007E2BB1"/>
    <w:rsid w:val="007F396E"/>
    <w:rsid w:val="007F7C81"/>
    <w:rsid w:val="00827061"/>
    <w:rsid w:val="008378E5"/>
    <w:rsid w:val="008402FF"/>
    <w:rsid w:val="00841C4A"/>
    <w:rsid w:val="00857F40"/>
    <w:rsid w:val="00863339"/>
    <w:rsid w:val="008751F2"/>
    <w:rsid w:val="00883919"/>
    <w:rsid w:val="008B115B"/>
    <w:rsid w:val="008C44A3"/>
    <w:rsid w:val="008D0030"/>
    <w:rsid w:val="008D1510"/>
    <w:rsid w:val="008D35DD"/>
    <w:rsid w:val="008E2E71"/>
    <w:rsid w:val="00912E69"/>
    <w:rsid w:val="0093196C"/>
    <w:rsid w:val="0093763B"/>
    <w:rsid w:val="00972F92"/>
    <w:rsid w:val="00974409"/>
    <w:rsid w:val="009859E9"/>
    <w:rsid w:val="00994470"/>
    <w:rsid w:val="009A2B70"/>
    <w:rsid w:val="009A6D8B"/>
    <w:rsid w:val="009C69DA"/>
    <w:rsid w:val="009F5F1E"/>
    <w:rsid w:val="00A34390"/>
    <w:rsid w:val="00A40959"/>
    <w:rsid w:val="00A40D80"/>
    <w:rsid w:val="00A42C64"/>
    <w:rsid w:val="00A94564"/>
    <w:rsid w:val="00A953E7"/>
    <w:rsid w:val="00AE6994"/>
    <w:rsid w:val="00B134B1"/>
    <w:rsid w:val="00B24C38"/>
    <w:rsid w:val="00B340A3"/>
    <w:rsid w:val="00B931DF"/>
    <w:rsid w:val="00BB01C9"/>
    <w:rsid w:val="00BB6691"/>
    <w:rsid w:val="00BF1A36"/>
    <w:rsid w:val="00C023AE"/>
    <w:rsid w:val="00C027B9"/>
    <w:rsid w:val="00C118F7"/>
    <w:rsid w:val="00C1796E"/>
    <w:rsid w:val="00C33C5C"/>
    <w:rsid w:val="00C45707"/>
    <w:rsid w:val="00C4640F"/>
    <w:rsid w:val="00C66D12"/>
    <w:rsid w:val="00C85A4F"/>
    <w:rsid w:val="00CB3A96"/>
    <w:rsid w:val="00CD09D8"/>
    <w:rsid w:val="00D03FE9"/>
    <w:rsid w:val="00D315A6"/>
    <w:rsid w:val="00D40626"/>
    <w:rsid w:val="00D4771D"/>
    <w:rsid w:val="00D63B1A"/>
    <w:rsid w:val="00DA2CC8"/>
    <w:rsid w:val="00DB42EC"/>
    <w:rsid w:val="00DB7E37"/>
    <w:rsid w:val="00DC56A4"/>
    <w:rsid w:val="00DE34C9"/>
    <w:rsid w:val="00DE5BD4"/>
    <w:rsid w:val="00DF7252"/>
    <w:rsid w:val="00E1371F"/>
    <w:rsid w:val="00E37F59"/>
    <w:rsid w:val="00E855D9"/>
    <w:rsid w:val="00E954FB"/>
    <w:rsid w:val="00E95561"/>
    <w:rsid w:val="00EA7FE8"/>
    <w:rsid w:val="00EB05F2"/>
    <w:rsid w:val="00EC1A7B"/>
    <w:rsid w:val="00EC58A9"/>
    <w:rsid w:val="00ED4E28"/>
    <w:rsid w:val="00EE5469"/>
    <w:rsid w:val="00F378A1"/>
    <w:rsid w:val="00F7226E"/>
    <w:rsid w:val="00F82FA4"/>
    <w:rsid w:val="00FC63B4"/>
    <w:rsid w:val="00FC737E"/>
    <w:rsid w:val="00FF2328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5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37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371F"/>
  </w:style>
  <w:style w:type="paragraph" w:styleId="Footer">
    <w:name w:val="footer"/>
    <w:basedOn w:val="Normal"/>
    <w:link w:val="FooterChar"/>
    <w:uiPriority w:val="99"/>
    <w:rsid w:val="00E137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371F"/>
  </w:style>
  <w:style w:type="paragraph" w:styleId="ListParagraph">
    <w:name w:val="List Paragraph"/>
    <w:basedOn w:val="Normal"/>
    <w:uiPriority w:val="99"/>
    <w:qFormat/>
    <w:rsid w:val="00530D1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530D14"/>
    <w:pPr>
      <w:spacing w:after="120" w:line="259" w:lineRule="auto"/>
    </w:pPr>
    <w:rPr>
      <w:sz w:val="20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0D14"/>
    <w:rPr>
      <w:rFonts w:ascii="Calibri" w:hAnsi="Calibri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4163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637"/>
    <w:rPr>
      <w:rFonts w:ascii="Tahoma" w:hAnsi="Tahoma"/>
      <w:sz w:val="16"/>
    </w:rPr>
  </w:style>
  <w:style w:type="character" w:customStyle="1" w:styleId="st">
    <w:name w:val="st"/>
    <w:uiPriority w:val="99"/>
    <w:rsid w:val="00863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1599</Words>
  <Characters>9117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Тетяна</dc:creator>
  <cp:keywords/>
  <dc:description/>
  <cp:lastModifiedBy>user</cp:lastModifiedBy>
  <cp:revision>2</cp:revision>
  <cp:lastPrinted>2017-05-11T07:52:00Z</cp:lastPrinted>
  <dcterms:created xsi:type="dcterms:W3CDTF">2017-10-26T18:40:00Z</dcterms:created>
  <dcterms:modified xsi:type="dcterms:W3CDTF">2017-10-26T18:40:00Z</dcterms:modified>
</cp:coreProperties>
</file>